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方正小标宋简体" w:hAnsi="方正小标宋简体" w:eastAsia="方正小标宋简体" w:cs="方正小标宋_GBK"/>
          <w:sz w:val="44"/>
          <w:szCs w:val="44"/>
          <w:lang w:val="en-US" w:eastAsia="zh-CN"/>
        </w:rPr>
      </w:pPr>
      <w:r>
        <w:rPr>
          <w:rFonts w:hint="eastAsia" w:ascii="方正小标宋简体" w:hAnsi="方正小标宋简体" w:eastAsia="方正小标宋简体" w:cs="方正小标宋_GBK"/>
          <w:sz w:val="44"/>
          <w:szCs w:val="44"/>
        </w:rPr>
        <w:t>202</w:t>
      </w:r>
      <w:r>
        <w:rPr>
          <w:rFonts w:hint="eastAsia" w:ascii="方正小标宋简体" w:hAnsi="方正小标宋简体" w:eastAsia="方正小标宋简体" w:cs="方正小标宋_GBK"/>
          <w:sz w:val="44"/>
          <w:szCs w:val="44"/>
          <w:lang w:val="en-US" w:eastAsia="zh-CN"/>
        </w:rPr>
        <w:t>4</w:t>
      </w:r>
      <w:r>
        <w:rPr>
          <w:rFonts w:hint="eastAsia" w:ascii="方正小标宋简体" w:hAnsi="方正小标宋简体" w:eastAsia="方正小标宋简体" w:cs="方正小标宋_GBK"/>
          <w:sz w:val="44"/>
          <w:szCs w:val="44"/>
        </w:rPr>
        <w:t>年度</w:t>
      </w:r>
      <w:r>
        <w:rPr>
          <w:rFonts w:hint="eastAsia" w:ascii="方正小标宋简体" w:hAnsi="方正小标宋简体" w:eastAsia="方正小标宋简体" w:cs="方正小标宋_GBK"/>
          <w:sz w:val="44"/>
          <w:szCs w:val="44"/>
          <w:lang w:eastAsia="zh-CN"/>
        </w:rPr>
        <w:t>顺河回族区应急管理局</w:t>
      </w:r>
      <w:r>
        <w:rPr>
          <w:rFonts w:hint="eastAsia" w:ascii="方正小标宋简体" w:hAnsi="方正小标宋简体" w:eastAsia="方正小标宋简体" w:cs="方正小标宋_GBK"/>
          <w:sz w:val="44"/>
          <w:szCs w:val="44"/>
        </w:rPr>
        <w:t>行政相对人违法风险点及防控措施清单</w:t>
      </w:r>
    </w:p>
    <w:p>
      <w:pPr>
        <w:rPr>
          <w:rFonts w:ascii="仿宋" w:hAnsi="仿宋" w:eastAsia="仿宋" w:cs="仿宋_GB2312"/>
          <w:sz w:val="32"/>
          <w:szCs w:val="32"/>
        </w:rPr>
      </w:pPr>
      <w:r>
        <w:rPr>
          <w:rFonts w:hint="eastAsia" w:ascii="仿宋" w:hAnsi="仿宋" w:eastAsia="仿宋" w:cs="仿宋_GB2312"/>
          <w:sz w:val="32"/>
          <w:szCs w:val="32"/>
        </w:rPr>
        <w:t xml:space="preserve">                                                                        </w:t>
      </w:r>
      <w:bookmarkStart w:id="0" w:name="_GoBack"/>
      <w:bookmarkEnd w:id="0"/>
    </w:p>
    <w:tbl>
      <w:tblPr>
        <w:tblStyle w:val="6"/>
        <w:tblW w:w="49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4827"/>
        <w:gridCol w:w="787"/>
        <w:gridCol w:w="2764"/>
        <w:gridCol w:w="2257"/>
        <w:gridCol w:w="278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73" w:type="pct"/>
            <w:vAlign w:val="center"/>
          </w:tcPr>
          <w:p>
            <w:pPr>
              <w:spacing w:line="500" w:lineRule="exact"/>
              <w:jc w:val="center"/>
              <w:rPr>
                <w:rFonts w:ascii="黑体" w:hAnsi="黑体" w:eastAsia="黑体" w:cs="仿宋_GB2312"/>
                <w:color w:val="auto"/>
                <w:sz w:val="30"/>
                <w:szCs w:val="30"/>
              </w:rPr>
            </w:pPr>
            <w:r>
              <w:rPr>
                <w:rFonts w:hint="eastAsia" w:ascii="黑体" w:hAnsi="黑体" w:eastAsia="黑体" w:cs="仿宋_GB2312"/>
                <w:color w:val="auto"/>
                <w:sz w:val="30"/>
                <w:szCs w:val="30"/>
              </w:rPr>
              <w:t>序号</w:t>
            </w:r>
          </w:p>
        </w:tc>
        <w:tc>
          <w:tcPr>
            <w:tcW w:w="1619" w:type="pct"/>
            <w:vAlign w:val="center"/>
          </w:tcPr>
          <w:p>
            <w:pPr>
              <w:spacing w:line="500" w:lineRule="exact"/>
              <w:jc w:val="center"/>
              <w:rPr>
                <w:rFonts w:ascii="黑体" w:hAnsi="黑体" w:eastAsia="黑体" w:cs="仿宋_GB2312"/>
                <w:color w:val="auto"/>
                <w:sz w:val="30"/>
                <w:szCs w:val="30"/>
              </w:rPr>
            </w:pPr>
            <w:r>
              <w:rPr>
                <w:rFonts w:hint="eastAsia" w:ascii="黑体" w:hAnsi="黑体" w:eastAsia="黑体" w:cs="仿宋_GB2312"/>
                <w:color w:val="auto"/>
                <w:sz w:val="30"/>
                <w:szCs w:val="30"/>
              </w:rPr>
              <w:t>违法风险点</w:t>
            </w:r>
          </w:p>
        </w:tc>
        <w:tc>
          <w:tcPr>
            <w:tcW w:w="264" w:type="pct"/>
            <w:vAlign w:val="center"/>
          </w:tcPr>
          <w:p>
            <w:pPr>
              <w:spacing w:line="500" w:lineRule="exact"/>
              <w:jc w:val="center"/>
              <w:rPr>
                <w:rFonts w:ascii="黑体" w:hAnsi="黑体" w:eastAsia="黑体" w:cs="仿宋_GB2312"/>
                <w:color w:val="auto"/>
                <w:spacing w:val="-20"/>
                <w:sz w:val="30"/>
                <w:szCs w:val="30"/>
              </w:rPr>
            </w:pPr>
            <w:r>
              <w:rPr>
                <w:rFonts w:hint="eastAsia" w:ascii="黑体" w:hAnsi="黑体" w:eastAsia="黑体" w:cs="仿宋_GB2312"/>
                <w:color w:val="auto"/>
                <w:spacing w:val="-20"/>
                <w:sz w:val="30"/>
                <w:szCs w:val="30"/>
              </w:rPr>
              <w:t>风险等级</w:t>
            </w:r>
          </w:p>
        </w:tc>
        <w:tc>
          <w:tcPr>
            <w:tcW w:w="927" w:type="pct"/>
            <w:vAlign w:val="center"/>
          </w:tcPr>
          <w:p>
            <w:pPr>
              <w:spacing w:line="500" w:lineRule="exact"/>
              <w:jc w:val="center"/>
              <w:rPr>
                <w:rFonts w:ascii="黑体" w:hAnsi="黑体" w:eastAsia="黑体" w:cs="仿宋_GB2312"/>
                <w:color w:val="auto"/>
                <w:spacing w:val="-20"/>
                <w:sz w:val="30"/>
                <w:szCs w:val="30"/>
              </w:rPr>
            </w:pPr>
            <w:r>
              <w:rPr>
                <w:rFonts w:hint="eastAsia" w:ascii="黑体" w:hAnsi="黑体" w:eastAsia="黑体" w:cs="仿宋_GB2312"/>
                <w:color w:val="auto"/>
                <w:spacing w:val="-20"/>
                <w:sz w:val="30"/>
                <w:szCs w:val="30"/>
              </w:rPr>
              <w:t>行政处罚和行政强制法律依据</w:t>
            </w:r>
          </w:p>
        </w:tc>
        <w:tc>
          <w:tcPr>
            <w:tcW w:w="757" w:type="pct"/>
            <w:vAlign w:val="center"/>
          </w:tcPr>
          <w:p>
            <w:pPr>
              <w:spacing w:line="500" w:lineRule="exact"/>
              <w:jc w:val="center"/>
              <w:rPr>
                <w:rFonts w:ascii="黑体" w:hAnsi="黑体" w:eastAsia="黑体" w:cs="仿宋_GB2312"/>
                <w:color w:val="auto"/>
                <w:sz w:val="30"/>
                <w:szCs w:val="30"/>
              </w:rPr>
            </w:pPr>
            <w:r>
              <w:rPr>
                <w:rFonts w:hint="eastAsia" w:ascii="黑体" w:hAnsi="黑体" w:eastAsia="黑体" w:cs="仿宋_GB2312"/>
                <w:color w:val="auto"/>
                <w:sz w:val="30"/>
                <w:szCs w:val="30"/>
              </w:rPr>
              <w:t>形成原因</w:t>
            </w:r>
          </w:p>
        </w:tc>
        <w:tc>
          <w:tcPr>
            <w:tcW w:w="933" w:type="pct"/>
            <w:vAlign w:val="center"/>
          </w:tcPr>
          <w:p>
            <w:pPr>
              <w:spacing w:line="500" w:lineRule="exact"/>
              <w:jc w:val="center"/>
              <w:rPr>
                <w:rFonts w:ascii="黑体" w:hAnsi="黑体" w:eastAsia="黑体" w:cs="仿宋_GB2312"/>
                <w:color w:val="auto"/>
                <w:sz w:val="30"/>
                <w:szCs w:val="30"/>
              </w:rPr>
            </w:pPr>
            <w:r>
              <w:rPr>
                <w:rFonts w:hint="eastAsia" w:ascii="黑体" w:hAnsi="黑体" w:eastAsia="黑体" w:cs="仿宋_GB2312"/>
                <w:color w:val="auto"/>
                <w:sz w:val="30"/>
                <w:szCs w:val="30"/>
              </w:rPr>
              <w:t>防控措施</w:t>
            </w:r>
          </w:p>
        </w:tc>
        <w:tc>
          <w:tcPr>
            <w:tcW w:w="324" w:type="pct"/>
            <w:vAlign w:val="center"/>
          </w:tcPr>
          <w:p>
            <w:pPr>
              <w:spacing w:line="500" w:lineRule="exact"/>
              <w:jc w:val="center"/>
              <w:rPr>
                <w:rFonts w:ascii="黑体" w:hAnsi="黑体" w:eastAsia="黑体" w:cs="仿宋_GB2312"/>
                <w:color w:val="auto"/>
                <w:sz w:val="30"/>
                <w:szCs w:val="30"/>
              </w:rPr>
            </w:pPr>
            <w:r>
              <w:rPr>
                <w:rFonts w:hint="eastAsia" w:ascii="黑体" w:hAnsi="黑体" w:eastAsia="黑体" w:cs="仿宋_GB2312"/>
                <w:color w:val="auto"/>
                <w:sz w:val="30"/>
                <w:szCs w:val="30"/>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173" w:type="pct"/>
            <w:vAlign w:val="center"/>
          </w:tcPr>
          <w:p>
            <w:pPr>
              <w:spacing w:line="500" w:lineRule="exact"/>
              <w:jc w:val="center"/>
              <w:rPr>
                <w:rFonts w:hint="eastAsia" w:ascii="黑体" w:hAnsi="黑体" w:eastAsia="黑体" w:cs="仿宋_GB2312"/>
                <w:color w:val="auto"/>
                <w:sz w:val="30"/>
                <w:szCs w:val="30"/>
                <w:lang w:val="en-US" w:eastAsia="zh-CN"/>
              </w:rPr>
            </w:pPr>
            <w:r>
              <w:rPr>
                <w:rFonts w:hint="eastAsia" w:ascii="宋体" w:hAnsi="宋体" w:eastAsia="宋体" w:cs="宋体"/>
                <w:color w:val="auto"/>
                <w:sz w:val="24"/>
                <w:szCs w:val="24"/>
                <w:lang w:val="en-US" w:eastAsia="zh-CN"/>
              </w:rPr>
              <w:t>1</w:t>
            </w:r>
          </w:p>
        </w:tc>
        <w:tc>
          <w:tcPr>
            <w:tcW w:w="1619" w:type="pct"/>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生产经营单位应当建立安全生产教育和培训档案，如实记录安全生产教育和培训的时间、内容、参加人员以及考核结果等情况。</w:t>
            </w:r>
          </w:p>
        </w:tc>
        <w:tc>
          <w:tcPr>
            <w:tcW w:w="264" w:type="pct"/>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高</w:t>
            </w:r>
          </w:p>
        </w:tc>
        <w:tc>
          <w:tcPr>
            <w:tcW w:w="927" w:type="pct"/>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《中华人民共和国安全生产法》第二十八条</w:t>
            </w:r>
          </w:p>
        </w:tc>
        <w:tc>
          <w:tcPr>
            <w:tcW w:w="757" w:type="pct"/>
            <w:vMerge w:val="restart"/>
            <w:vAlign w:val="center"/>
          </w:tcPr>
          <w:p>
            <w:pPr>
              <w:spacing w:line="400" w:lineRule="exact"/>
              <w:jc w:val="left"/>
              <w:rPr>
                <w:rFonts w:asciiTheme="minorEastAsia" w:hAnsiTheme="minorEastAsia"/>
                <w:color w:val="auto"/>
                <w:sz w:val="24"/>
              </w:rPr>
            </w:pPr>
            <w:r>
              <w:rPr>
                <w:rFonts w:hint="eastAsia" w:asciiTheme="minorEastAsia" w:hAnsiTheme="minorEastAsia"/>
                <w:color w:val="auto"/>
                <w:sz w:val="24"/>
              </w:rPr>
              <w:t>1.生产经营单位经济利益驱动，重生产轻安全，重效益轻管理，安全生产主体责任落实不到位；</w:t>
            </w:r>
          </w:p>
          <w:p>
            <w:pPr>
              <w:spacing w:line="400" w:lineRule="exact"/>
              <w:jc w:val="left"/>
              <w:rPr>
                <w:rFonts w:asciiTheme="minorEastAsia" w:hAnsiTheme="minorEastAsia"/>
                <w:color w:val="auto"/>
                <w:sz w:val="24"/>
              </w:rPr>
            </w:pPr>
            <w:r>
              <w:rPr>
                <w:rFonts w:asciiTheme="minorEastAsia" w:hAnsiTheme="minorEastAsia"/>
                <w:color w:val="auto"/>
                <w:sz w:val="24"/>
              </w:rPr>
              <w:t>2.</w:t>
            </w:r>
            <w:r>
              <w:rPr>
                <w:rFonts w:hint="eastAsia" w:asciiTheme="minorEastAsia" w:hAnsiTheme="minorEastAsia"/>
                <w:color w:val="auto"/>
                <w:sz w:val="24"/>
              </w:rPr>
              <w:t>生产经营单位主要负责人安全生产意识淡薄，未认真履行安全生产法律法规规定的安全生产管理职责；</w:t>
            </w:r>
          </w:p>
          <w:p>
            <w:pPr>
              <w:spacing w:line="400" w:lineRule="exact"/>
              <w:jc w:val="left"/>
              <w:rPr>
                <w:rFonts w:asciiTheme="minorEastAsia" w:hAnsiTheme="minorEastAsia"/>
                <w:color w:val="auto"/>
                <w:sz w:val="24"/>
              </w:rPr>
            </w:pPr>
            <w:r>
              <w:rPr>
                <w:rFonts w:asciiTheme="minorEastAsia" w:hAnsiTheme="minorEastAsia"/>
                <w:color w:val="auto"/>
                <w:sz w:val="24"/>
              </w:rPr>
              <w:t>3.</w:t>
            </w:r>
            <w:r>
              <w:rPr>
                <w:rFonts w:hint="eastAsia" w:asciiTheme="minorEastAsia" w:hAnsiTheme="minorEastAsia"/>
                <w:color w:val="auto"/>
                <w:sz w:val="24"/>
              </w:rPr>
              <w:t>生产经营单位从业人员存在侥幸心理、麻痹心理和取巧心理；</w:t>
            </w:r>
          </w:p>
          <w:p>
            <w:pPr>
              <w:rPr>
                <w:rFonts w:asciiTheme="minorEastAsia" w:hAnsiTheme="minorEastAsia"/>
                <w:color w:val="auto"/>
                <w:sz w:val="24"/>
              </w:rPr>
            </w:pPr>
            <w:r>
              <w:rPr>
                <w:rFonts w:asciiTheme="minorEastAsia" w:hAnsiTheme="minorEastAsia"/>
                <w:color w:val="auto"/>
                <w:sz w:val="24"/>
              </w:rPr>
              <w:t>4.</w:t>
            </w:r>
            <w:r>
              <w:rPr>
                <w:rFonts w:hint="eastAsia" w:asciiTheme="minorEastAsia" w:hAnsiTheme="minorEastAsia"/>
                <w:color w:val="auto"/>
                <w:sz w:val="24"/>
              </w:rPr>
              <w:t>法律法规和标准体系修订完善后，生产经营单位学习掌握、贯彻落实不到位，未结合法律修订情况及时更新完善本单位相关制度、评估报告等。</w:t>
            </w:r>
          </w:p>
          <w:p>
            <w:pPr>
              <w:rPr>
                <w:rFonts w:asciiTheme="minorEastAsia" w:hAnsiTheme="minorEastAsia"/>
                <w:color w:val="auto"/>
                <w:sz w:val="24"/>
              </w:rPr>
            </w:pPr>
          </w:p>
          <w:p>
            <w:pPr>
              <w:spacing w:line="500" w:lineRule="exact"/>
              <w:jc w:val="center"/>
              <w:rPr>
                <w:rFonts w:hint="eastAsia" w:ascii="黑体" w:hAnsi="黑体" w:eastAsia="黑体" w:cs="仿宋_GB2312"/>
                <w:color w:val="auto"/>
                <w:sz w:val="30"/>
                <w:szCs w:val="30"/>
              </w:rPr>
            </w:pPr>
          </w:p>
        </w:tc>
        <w:tc>
          <w:tcPr>
            <w:tcW w:w="933" w:type="pct"/>
            <w:vMerge w:val="restart"/>
            <w:vAlign w:val="center"/>
          </w:tcPr>
          <w:p>
            <w:pPr>
              <w:spacing w:line="360" w:lineRule="exact"/>
              <w:rPr>
                <w:rFonts w:asciiTheme="minorEastAsia" w:hAnsiTheme="minorEastAsia"/>
                <w:color w:val="auto"/>
                <w:sz w:val="24"/>
              </w:rPr>
            </w:pPr>
            <w:r>
              <w:rPr>
                <w:rFonts w:hint="eastAsia" w:asciiTheme="minorEastAsia" w:hAnsiTheme="minorEastAsia"/>
                <w:color w:val="auto"/>
                <w:sz w:val="24"/>
              </w:rPr>
              <w:t>1.行政机关严格落实“谁执法谁普法”责任制，强化法律法规知识普及宣传，拓宽宣传渠道，扩大安全生产法律知识普及面；完善执法方式，积极探索服务型执法， 强化行政指导，促进执法和教育相结合。</w:t>
            </w:r>
          </w:p>
          <w:p>
            <w:pPr>
              <w:spacing w:line="360" w:lineRule="exact"/>
              <w:rPr>
                <w:rFonts w:hint="eastAsia" w:asciiTheme="minorEastAsia" w:hAnsiTheme="minorEastAsia" w:eastAsiaTheme="minorEastAsia"/>
                <w:color w:val="auto"/>
                <w:sz w:val="24"/>
                <w:lang w:eastAsia="zh-CN"/>
              </w:rPr>
            </w:pPr>
            <w:r>
              <w:rPr>
                <w:rFonts w:asciiTheme="minorEastAsia" w:hAnsiTheme="minorEastAsia"/>
                <w:color w:val="auto"/>
                <w:sz w:val="24"/>
              </w:rPr>
              <w:t>2.</w:t>
            </w:r>
            <w:r>
              <w:rPr>
                <w:rFonts w:hint="eastAsia" w:asciiTheme="minorEastAsia" w:hAnsiTheme="minorEastAsia"/>
                <w:color w:val="auto"/>
                <w:sz w:val="24"/>
              </w:rPr>
              <w:t>生产经营单位</w:t>
            </w:r>
            <w:r>
              <w:rPr>
                <w:rFonts w:hint="eastAsia" w:asciiTheme="minorEastAsia" w:hAnsiTheme="minorEastAsia"/>
                <w:color w:val="auto"/>
                <w:sz w:val="24"/>
                <w:lang w:eastAsia="zh-CN"/>
              </w:rPr>
              <w:t>：</w:t>
            </w:r>
          </w:p>
          <w:p>
            <w:pPr>
              <w:spacing w:line="360" w:lineRule="exact"/>
              <w:rPr>
                <w:rFonts w:asciiTheme="minorEastAsia" w:hAnsiTheme="minorEastAsia"/>
                <w:color w:val="auto"/>
                <w:sz w:val="24"/>
              </w:rPr>
            </w:pPr>
            <w:r>
              <w:rPr>
                <w:rFonts w:hint="eastAsia" w:asciiTheme="minorEastAsia" w:hAnsiTheme="minorEastAsia"/>
                <w:color w:val="auto"/>
                <w:sz w:val="24"/>
              </w:rPr>
              <w:t>（</w:t>
            </w:r>
            <w:r>
              <w:rPr>
                <w:rFonts w:asciiTheme="minorEastAsia" w:hAnsiTheme="minorEastAsia"/>
                <w:color w:val="auto"/>
                <w:sz w:val="24"/>
              </w:rPr>
              <w:t>1</w:t>
            </w:r>
            <w:r>
              <w:rPr>
                <w:rFonts w:hint="eastAsia" w:asciiTheme="minorEastAsia" w:hAnsiTheme="minorEastAsia"/>
                <w:color w:val="auto"/>
                <w:sz w:val="24"/>
              </w:rPr>
              <w:t>）深入学习安全生产法律法规，特别是新修订的法律法规，严格落实安全生产主体责任，建立健全安全生产责任制，构建安全生产风险辨识管控与隐患排查治理双重预防体系，管控生产经营过程中的违法风险点。</w:t>
            </w:r>
          </w:p>
          <w:p>
            <w:pPr>
              <w:spacing w:line="360" w:lineRule="exact"/>
              <w:rPr>
                <w:rFonts w:asciiTheme="minorEastAsia" w:hAnsiTheme="minorEastAsia"/>
                <w:color w:val="auto"/>
                <w:sz w:val="24"/>
              </w:rPr>
            </w:pPr>
            <w:r>
              <w:rPr>
                <w:rFonts w:hint="eastAsia" w:asciiTheme="minorEastAsia" w:hAnsiTheme="minorEastAsia"/>
                <w:color w:val="auto"/>
                <w:sz w:val="24"/>
              </w:rPr>
              <w:t>（</w:t>
            </w:r>
            <w:r>
              <w:rPr>
                <w:rFonts w:asciiTheme="minorEastAsia" w:hAnsiTheme="minorEastAsia"/>
                <w:color w:val="auto"/>
                <w:sz w:val="24"/>
              </w:rPr>
              <w:t>2</w:t>
            </w:r>
            <w:r>
              <w:rPr>
                <w:rFonts w:hint="eastAsia" w:asciiTheme="minorEastAsia" w:hAnsiTheme="minorEastAsia"/>
                <w:color w:val="auto"/>
                <w:sz w:val="24"/>
              </w:rPr>
              <w:t>）加强从业人员的安全生产培训，提高企业职工安全生产技能，掌握必要的安全生产知识、辩识危险、危害因素及其预防措施，熟悉岗位职责以及安全生产规章制度、操作规程、劳动纪律等。定期观看事故警示教育片，鼓励与专业的技能院校进行校建立企联合培训，增加培训方式，增强培训效果。</w:t>
            </w:r>
          </w:p>
          <w:p>
            <w:pPr>
              <w:spacing w:line="360" w:lineRule="exact"/>
              <w:rPr>
                <w:rFonts w:asciiTheme="minorEastAsia" w:hAnsiTheme="minorEastAsia"/>
                <w:color w:val="auto"/>
                <w:sz w:val="24"/>
              </w:rPr>
            </w:pPr>
            <w:r>
              <w:rPr>
                <w:rFonts w:hint="eastAsia" w:asciiTheme="minorEastAsia" w:hAnsiTheme="minorEastAsia"/>
                <w:color w:val="auto"/>
                <w:sz w:val="24"/>
              </w:rPr>
              <w:t>（</w:t>
            </w:r>
            <w:r>
              <w:rPr>
                <w:rFonts w:asciiTheme="minorEastAsia" w:hAnsiTheme="minorEastAsia"/>
                <w:color w:val="auto"/>
                <w:sz w:val="24"/>
              </w:rPr>
              <w:t>3</w:t>
            </w:r>
            <w:r>
              <w:rPr>
                <w:rFonts w:hint="eastAsia" w:asciiTheme="minorEastAsia" w:hAnsiTheme="minorEastAsia"/>
                <w:color w:val="auto"/>
                <w:sz w:val="24"/>
              </w:rPr>
              <w:t>）建立风险管控和事故隐患排查治理制度，</w:t>
            </w:r>
            <w:r>
              <w:rPr>
                <w:rFonts w:hint="eastAsia" w:ascii="宋体" w:hAnsi="宋体" w:eastAsia="宋体" w:cs="宋体"/>
                <w:color w:val="auto"/>
                <w:sz w:val="24"/>
                <w:szCs w:val="24"/>
                <w:lang w:val="en-US" w:eastAsia="zh-CN"/>
              </w:rPr>
              <w:t>采取技术、管理措施，及时发现并消除事故隐患。如实记录事故隐患排查治理情况</w:t>
            </w:r>
            <w:r>
              <w:rPr>
                <w:rFonts w:hint="eastAsia" w:asciiTheme="minorEastAsia" w:hAnsiTheme="minorEastAsia"/>
                <w:color w:val="auto"/>
                <w:sz w:val="24"/>
              </w:rPr>
              <w:t>。</w:t>
            </w:r>
          </w:p>
          <w:p>
            <w:pPr>
              <w:spacing w:line="360" w:lineRule="exact"/>
              <w:rPr>
                <w:rFonts w:hint="eastAsia" w:asciiTheme="minorEastAsia" w:hAnsiTheme="minorEastAsia"/>
                <w:color w:val="auto"/>
                <w:sz w:val="24"/>
              </w:rPr>
            </w:pPr>
            <w:r>
              <w:rPr>
                <w:rFonts w:asciiTheme="minorEastAsia" w:hAnsiTheme="minorEastAsia"/>
                <w:color w:val="auto"/>
                <w:sz w:val="24"/>
              </w:rPr>
              <w:t>(4)</w:t>
            </w:r>
            <w:r>
              <w:rPr>
                <w:rFonts w:hint="eastAsia" w:asciiTheme="minorEastAsia" w:hAnsiTheme="minorEastAsia"/>
                <w:color w:val="auto"/>
                <w:sz w:val="24"/>
              </w:rPr>
              <w:t>制定生产安全事故应急预案并定期组织演练，提高企业职工应急处置能力。</w:t>
            </w:r>
          </w:p>
          <w:p>
            <w:pPr>
              <w:spacing w:line="360" w:lineRule="exact"/>
              <w:rPr>
                <w:rFonts w:hint="eastAsia" w:asciiTheme="minorEastAsia" w:hAnsiTheme="minorEastAsia"/>
                <w:color w:val="auto"/>
                <w:sz w:val="24"/>
              </w:rPr>
            </w:pPr>
            <w:r>
              <w:rPr>
                <w:rFonts w:hint="eastAsia" w:asciiTheme="minorEastAsia" w:hAnsiTheme="minorEastAsia"/>
                <w:color w:val="auto"/>
                <w:sz w:val="24"/>
              </w:rPr>
              <w:t>3. 培训机构</w:t>
            </w:r>
          </w:p>
          <w:p>
            <w:pPr>
              <w:spacing w:line="360" w:lineRule="exact"/>
              <w:jc w:val="left"/>
              <w:rPr>
                <w:rFonts w:asciiTheme="minorEastAsia" w:hAnsiTheme="minorEastAsia"/>
                <w:color w:val="auto"/>
                <w:sz w:val="24"/>
              </w:rPr>
            </w:pPr>
            <w:r>
              <w:rPr>
                <w:rFonts w:hint="eastAsia" w:asciiTheme="minorEastAsia" w:hAnsiTheme="minorEastAsia"/>
                <w:color w:val="auto"/>
                <w:sz w:val="24"/>
              </w:rPr>
              <w:t>深入学习安全生产法律法规，特别是新修订的法律法规，按照规定健全安全培训资质条件和安全培训规章制度，严格按照统一的培训大纲开展培训教学；加强生产经营单位对培训机构的监督，促进安全培训依法进行。</w:t>
            </w:r>
          </w:p>
          <w:p>
            <w:pPr>
              <w:rPr>
                <w:rFonts w:asciiTheme="minorEastAsia" w:hAnsiTheme="minorEastAsia"/>
                <w:color w:val="auto"/>
                <w:sz w:val="24"/>
              </w:rPr>
            </w:pPr>
          </w:p>
          <w:p>
            <w:pPr>
              <w:spacing w:line="500" w:lineRule="exact"/>
              <w:jc w:val="center"/>
              <w:rPr>
                <w:rFonts w:hint="eastAsia" w:ascii="黑体" w:hAnsi="黑体" w:eastAsia="黑体" w:cs="仿宋_GB2312"/>
                <w:color w:val="auto"/>
                <w:sz w:val="30"/>
                <w:szCs w:val="30"/>
              </w:rPr>
            </w:pPr>
          </w:p>
        </w:tc>
        <w:tc>
          <w:tcPr>
            <w:tcW w:w="324" w:type="pct"/>
            <w:vMerge w:val="restart"/>
            <w:vAlign w:val="center"/>
          </w:tcPr>
          <w:p>
            <w:pPr>
              <w:spacing w:line="500" w:lineRule="exact"/>
              <w:jc w:val="center"/>
              <w:rPr>
                <w:rFonts w:hint="eastAsia" w:ascii="黑体" w:hAnsi="黑体" w:eastAsia="黑体" w:cs="仿宋_GB2312"/>
                <w:color w:val="auto"/>
                <w:sz w:val="30"/>
                <w:szCs w:val="30"/>
              </w:rPr>
            </w:pPr>
            <w:r>
              <w:rPr>
                <w:rFonts w:hint="eastAsia" w:cs="仿宋_GB2312" w:asciiTheme="minorEastAsia" w:hAnsiTheme="minorEastAsia"/>
                <w:color w:val="auto"/>
                <w:sz w:val="24"/>
                <w:lang w:val="en-US" w:eastAsia="zh-CN"/>
              </w:rPr>
              <w:t>工贸科</w:t>
            </w:r>
            <w:r>
              <w:rPr>
                <w:rFonts w:hint="eastAsia" w:cs="仿宋_GB2312" w:asciiTheme="minorEastAsia" w:hAnsiTheme="minorEastAsia"/>
                <w:color w:val="auto"/>
                <w:sz w:val="24"/>
              </w:rPr>
              <w:t>、</w:t>
            </w:r>
            <w:r>
              <w:rPr>
                <w:rFonts w:hint="eastAsia" w:cs="仿宋_GB2312" w:asciiTheme="minorEastAsia" w:hAnsiTheme="minorEastAsia"/>
                <w:color w:val="auto"/>
                <w:sz w:val="24"/>
                <w:lang w:val="en-US" w:eastAsia="zh-CN"/>
              </w:rPr>
              <w:t>危化科</w:t>
            </w:r>
            <w:r>
              <w:rPr>
                <w:rFonts w:hint="eastAsia" w:cs="仿宋_GB2312" w:asciiTheme="minorEastAsia" w:hAnsiTheme="minorEastAsia"/>
                <w:color w:val="auto"/>
                <w:sz w:val="24"/>
              </w:rPr>
              <w:t>、宣传训练科、</w:t>
            </w:r>
            <w:r>
              <w:rPr>
                <w:rFonts w:hint="eastAsia" w:cs="仿宋_GB2312" w:asciiTheme="minorEastAsia" w:hAnsiTheme="minorEastAsia"/>
                <w:color w:val="auto"/>
                <w:sz w:val="24"/>
                <w:lang w:val="en-US" w:eastAsia="zh-CN"/>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73" w:type="pct"/>
            <w:vAlign w:val="center"/>
          </w:tcPr>
          <w:p>
            <w:pPr>
              <w:jc w:val="center"/>
              <w:rPr>
                <w:rFonts w:cs="仿宋_GB2312" w:asciiTheme="minorEastAsia" w:hAnsiTheme="minorEastAsia"/>
                <w:color w:val="auto"/>
                <w:sz w:val="24"/>
              </w:rPr>
            </w:pPr>
            <w:r>
              <w:rPr>
                <w:rFonts w:cs="仿宋_GB2312" w:asciiTheme="minorEastAsia" w:hAnsiTheme="minorEastAsia"/>
                <w:color w:val="auto"/>
                <w:sz w:val="24"/>
              </w:rPr>
              <w:t>2</w:t>
            </w:r>
          </w:p>
        </w:tc>
        <w:tc>
          <w:tcPr>
            <w:tcW w:w="1619" w:type="pct"/>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生产经营单位的特种作业人员必须按照国家有关规定经专门的安全作业培训，取得相应资格，方可上岗作业。</w:t>
            </w:r>
          </w:p>
        </w:tc>
        <w:tc>
          <w:tcPr>
            <w:tcW w:w="264" w:type="pct"/>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高</w:t>
            </w:r>
          </w:p>
        </w:tc>
        <w:tc>
          <w:tcPr>
            <w:tcW w:w="927" w:type="pct"/>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《中华人民共和国安全生产法》第三十条</w:t>
            </w:r>
          </w:p>
        </w:tc>
        <w:tc>
          <w:tcPr>
            <w:tcW w:w="757" w:type="pct"/>
            <w:vMerge w:val="continue"/>
          </w:tcPr>
          <w:p>
            <w:pPr>
              <w:jc w:val="center"/>
              <w:rPr>
                <w:rFonts w:cs="仿宋_GB2312" w:asciiTheme="minorEastAsia" w:hAnsiTheme="minorEastAsia"/>
                <w:color w:val="auto"/>
                <w:sz w:val="24"/>
              </w:rPr>
            </w:pPr>
          </w:p>
        </w:tc>
        <w:tc>
          <w:tcPr>
            <w:tcW w:w="933" w:type="pct"/>
            <w:vMerge w:val="continue"/>
            <w:vAlign w:val="center"/>
          </w:tcPr>
          <w:p>
            <w:pPr>
              <w:jc w:val="center"/>
              <w:rPr>
                <w:rFonts w:cs="仿宋_GB2312" w:asciiTheme="minorEastAsia" w:hAnsiTheme="minorEastAsia"/>
                <w:color w:val="auto"/>
                <w:sz w:val="24"/>
              </w:rPr>
            </w:pPr>
          </w:p>
        </w:tc>
        <w:tc>
          <w:tcPr>
            <w:tcW w:w="324" w:type="pct"/>
            <w:vMerge w:val="continue"/>
            <w:vAlign w:val="center"/>
          </w:tcPr>
          <w:p>
            <w:pPr>
              <w:jc w:val="center"/>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73" w:type="pct"/>
            <w:vAlign w:val="center"/>
          </w:tcPr>
          <w:p>
            <w:pPr>
              <w:jc w:val="center"/>
              <w:rPr>
                <w:rFonts w:cs="仿宋_GB2312" w:asciiTheme="minorEastAsia" w:hAnsiTheme="minorEastAsia"/>
                <w:color w:val="auto"/>
                <w:sz w:val="24"/>
              </w:rPr>
            </w:pPr>
            <w:r>
              <w:rPr>
                <w:rFonts w:cs="仿宋_GB2312" w:asciiTheme="minorEastAsia" w:hAnsiTheme="minorEastAsia"/>
                <w:color w:val="auto"/>
                <w:sz w:val="24"/>
              </w:rPr>
              <w:t>3</w:t>
            </w:r>
          </w:p>
        </w:tc>
        <w:tc>
          <w:tcPr>
            <w:tcW w:w="1619" w:type="pct"/>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生产经营单位应当建立安全风险分级管控制度，按照安全风险分级采取相应的管控措施。</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264" w:type="pct"/>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高</w:t>
            </w:r>
          </w:p>
        </w:tc>
        <w:tc>
          <w:tcPr>
            <w:tcW w:w="927" w:type="pct"/>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《中华人民共和国安全生产法》第四十一条</w:t>
            </w:r>
          </w:p>
        </w:tc>
        <w:tc>
          <w:tcPr>
            <w:tcW w:w="757" w:type="pct"/>
            <w:vMerge w:val="continue"/>
          </w:tcPr>
          <w:p>
            <w:pPr>
              <w:jc w:val="center"/>
              <w:rPr>
                <w:rFonts w:cs="仿宋_GB2312" w:asciiTheme="minorEastAsia" w:hAnsiTheme="minorEastAsia"/>
                <w:color w:val="auto"/>
                <w:sz w:val="24"/>
              </w:rPr>
            </w:pPr>
          </w:p>
        </w:tc>
        <w:tc>
          <w:tcPr>
            <w:tcW w:w="933" w:type="pct"/>
            <w:vMerge w:val="continue"/>
            <w:vAlign w:val="center"/>
          </w:tcPr>
          <w:p>
            <w:pPr>
              <w:jc w:val="center"/>
              <w:rPr>
                <w:rFonts w:cs="仿宋_GB2312" w:asciiTheme="minorEastAsia" w:hAnsiTheme="minorEastAsia"/>
                <w:color w:val="auto"/>
                <w:sz w:val="24"/>
              </w:rPr>
            </w:pPr>
          </w:p>
        </w:tc>
        <w:tc>
          <w:tcPr>
            <w:tcW w:w="324" w:type="pct"/>
            <w:vMerge w:val="continue"/>
            <w:vAlign w:val="center"/>
          </w:tcPr>
          <w:p>
            <w:pPr>
              <w:jc w:val="center"/>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173" w:type="pct"/>
            <w:vAlign w:val="center"/>
          </w:tcPr>
          <w:p>
            <w:pPr>
              <w:jc w:val="center"/>
              <w:rPr>
                <w:rFonts w:cs="仿宋_GB2312" w:asciiTheme="minorEastAsia" w:hAnsiTheme="minorEastAsia"/>
                <w:color w:val="auto"/>
                <w:sz w:val="24"/>
              </w:rPr>
            </w:pPr>
            <w:r>
              <w:rPr>
                <w:rFonts w:cs="仿宋_GB2312" w:asciiTheme="minorEastAsia" w:hAnsiTheme="minorEastAsia"/>
                <w:color w:val="auto"/>
                <w:sz w:val="24"/>
              </w:rPr>
              <w:t>4</w:t>
            </w:r>
          </w:p>
        </w:tc>
        <w:tc>
          <w:tcPr>
            <w:tcW w:w="1619" w:type="pct"/>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tc>
        <w:tc>
          <w:tcPr>
            <w:tcW w:w="264" w:type="pct"/>
            <w:vAlign w:val="center"/>
          </w:tcPr>
          <w:p>
            <w:pPr>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高</w:t>
            </w:r>
          </w:p>
        </w:tc>
        <w:tc>
          <w:tcPr>
            <w:tcW w:w="927" w:type="pct"/>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《危险化学品安全管理条例》第二十四条</w:t>
            </w:r>
          </w:p>
        </w:tc>
        <w:tc>
          <w:tcPr>
            <w:tcW w:w="757" w:type="pct"/>
            <w:vMerge w:val="continue"/>
          </w:tcPr>
          <w:p>
            <w:pPr>
              <w:jc w:val="center"/>
              <w:rPr>
                <w:rFonts w:cs="仿宋_GB2312" w:asciiTheme="minorEastAsia" w:hAnsiTheme="minorEastAsia"/>
                <w:color w:val="auto"/>
                <w:sz w:val="24"/>
              </w:rPr>
            </w:pPr>
          </w:p>
        </w:tc>
        <w:tc>
          <w:tcPr>
            <w:tcW w:w="933" w:type="pct"/>
            <w:vMerge w:val="continue"/>
            <w:vAlign w:val="center"/>
          </w:tcPr>
          <w:p>
            <w:pPr>
              <w:jc w:val="center"/>
              <w:rPr>
                <w:rFonts w:cs="仿宋_GB2312" w:asciiTheme="minorEastAsia" w:hAnsiTheme="minorEastAsia"/>
                <w:color w:val="auto"/>
                <w:sz w:val="24"/>
              </w:rPr>
            </w:pPr>
          </w:p>
        </w:tc>
        <w:tc>
          <w:tcPr>
            <w:tcW w:w="324" w:type="pct"/>
            <w:vMerge w:val="continue"/>
            <w:vAlign w:val="center"/>
          </w:tcPr>
          <w:p>
            <w:pPr>
              <w:jc w:val="center"/>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3" w:type="pct"/>
            <w:vAlign w:val="center"/>
          </w:tcPr>
          <w:p>
            <w:pPr>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color w:val="auto"/>
                <w:sz w:val="24"/>
                <w:lang w:val="en-US" w:eastAsia="zh-CN"/>
              </w:rPr>
              <w:t>5</w:t>
            </w:r>
          </w:p>
        </w:tc>
        <w:tc>
          <w:tcPr>
            <w:tcW w:w="1619" w:type="pct"/>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生产经营单位的主要负责人是本单位安全生产第一责任人，对本单位的安全生产工作全面负责。其他负责人对职责范围内的安全生产工作负责。</w:t>
            </w:r>
          </w:p>
        </w:tc>
        <w:tc>
          <w:tcPr>
            <w:tcW w:w="264" w:type="pct"/>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w:t>
            </w:r>
          </w:p>
        </w:tc>
        <w:tc>
          <w:tcPr>
            <w:tcW w:w="927" w:type="pct"/>
            <w:vAlign w:val="center"/>
          </w:tcPr>
          <w:p>
            <w:pP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《中华人民共和国安全生产法》第五条</w:t>
            </w:r>
          </w:p>
        </w:tc>
        <w:tc>
          <w:tcPr>
            <w:tcW w:w="757" w:type="pct"/>
            <w:vMerge w:val="continue"/>
          </w:tcPr>
          <w:p>
            <w:pPr>
              <w:jc w:val="center"/>
              <w:rPr>
                <w:rFonts w:cs="仿宋_GB2312" w:asciiTheme="minorEastAsia" w:hAnsiTheme="minorEastAsia"/>
                <w:color w:val="auto"/>
                <w:sz w:val="24"/>
              </w:rPr>
            </w:pPr>
          </w:p>
        </w:tc>
        <w:tc>
          <w:tcPr>
            <w:tcW w:w="933" w:type="pct"/>
            <w:vMerge w:val="continue"/>
            <w:vAlign w:val="center"/>
          </w:tcPr>
          <w:p>
            <w:pPr>
              <w:jc w:val="center"/>
              <w:rPr>
                <w:rFonts w:cs="仿宋_GB2312" w:asciiTheme="minorEastAsia" w:hAnsiTheme="minorEastAsia"/>
                <w:color w:val="auto"/>
                <w:sz w:val="24"/>
              </w:rPr>
            </w:pPr>
          </w:p>
        </w:tc>
        <w:tc>
          <w:tcPr>
            <w:tcW w:w="324" w:type="pct"/>
            <w:vMerge w:val="continue"/>
            <w:vAlign w:val="center"/>
          </w:tcPr>
          <w:p>
            <w:pPr>
              <w:jc w:val="center"/>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trPr>
        <w:tc>
          <w:tcPr>
            <w:tcW w:w="173" w:type="pct"/>
            <w:vAlign w:val="center"/>
          </w:tcPr>
          <w:p>
            <w:pPr>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color w:val="auto"/>
                <w:sz w:val="24"/>
                <w:lang w:val="en-US" w:eastAsia="zh-CN"/>
              </w:rPr>
              <w:t>6</w:t>
            </w:r>
          </w:p>
        </w:tc>
        <w:tc>
          <w:tcPr>
            <w:tcW w:w="1619" w:type="pct"/>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生产经营单位的主要负责人和安全生产管理人员必须具备与本单位所从事的生产经营活动相应的安全生产知识和管理能力。</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tc>
        <w:tc>
          <w:tcPr>
            <w:tcW w:w="264" w:type="pct"/>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w:t>
            </w:r>
          </w:p>
        </w:tc>
        <w:tc>
          <w:tcPr>
            <w:tcW w:w="927" w:type="pct"/>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《中华人民共和国安全生产法》第二十七条</w:t>
            </w:r>
          </w:p>
        </w:tc>
        <w:tc>
          <w:tcPr>
            <w:tcW w:w="757" w:type="pct"/>
            <w:vMerge w:val="continue"/>
          </w:tcPr>
          <w:p>
            <w:pPr>
              <w:jc w:val="center"/>
              <w:rPr>
                <w:rFonts w:cs="仿宋_GB2312" w:asciiTheme="minorEastAsia" w:hAnsiTheme="minorEastAsia"/>
                <w:color w:val="auto"/>
                <w:sz w:val="24"/>
              </w:rPr>
            </w:pPr>
          </w:p>
        </w:tc>
        <w:tc>
          <w:tcPr>
            <w:tcW w:w="933" w:type="pct"/>
            <w:vMerge w:val="continue"/>
            <w:vAlign w:val="center"/>
          </w:tcPr>
          <w:p>
            <w:pPr>
              <w:jc w:val="center"/>
              <w:rPr>
                <w:rFonts w:cs="仿宋_GB2312" w:asciiTheme="minorEastAsia" w:hAnsiTheme="minorEastAsia"/>
                <w:color w:val="auto"/>
                <w:sz w:val="24"/>
              </w:rPr>
            </w:pPr>
          </w:p>
        </w:tc>
        <w:tc>
          <w:tcPr>
            <w:tcW w:w="324" w:type="pct"/>
            <w:vMerge w:val="continue"/>
            <w:vAlign w:val="center"/>
          </w:tcPr>
          <w:p>
            <w:pPr>
              <w:jc w:val="center"/>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73" w:type="pct"/>
            <w:vAlign w:val="center"/>
          </w:tcPr>
          <w:p>
            <w:pPr>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color w:val="auto"/>
                <w:sz w:val="24"/>
                <w:lang w:val="en-US" w:eastAsia="zh-CN"/>
              </w:rPr>
              <w:t>7</w:t>
            </w:r>
          </w:p>
        </w:tc>
        <w:tc>
          <w:tcPr>
            <w:tcW w:w="1619" w:type="pct"/>
            <w:vAlign w:val="center"/>
          </w:tcPr>
          <w:p>
            <w:pPr>
              <w:rPr>
                <w:rFonts w:hint="eastAsia" w:cs="仿宋_GB2312" w:asciiTheme="minorEastAsia" w:hAnsiTheme="minorEastAsia" w:eastAsiaTheme="minorEastAsia"/>
                <w:color w:val="auto"/>
                <w:kern w:val="2"/>
                <w:sz w:val="24"/>
                <w:szCs w:val="24"/>
                <w:lang w:val="en-US" w:eastAsia="zh-CN" w:bidi="ar-SA"/>
              </w:rPr>
            </w:pPr>
            <w:r>
              <w:rPr>
                <w:rFonts w:hint="default" w:cs="仿宋_GB2312" w:asciiTheme="minorEastAsia" w:hAnsiTheme="minorEastAsia" w:eastAsiaTheme="minorEastAsia"/>
                <w:color w:val="auto"/>
                <w:sz w:val="24"/>
                <w:lang w:val="en-US" w:eastAsia="zh-CN"/>
              </w:rPr>
              <w:t>生产经营单位应当在有较大危险因素的生产经营场所和有关设施、设备上，设置明显的安全警示标志。</w:t>
            </w:r>
          </w:p>
        </w:tc>
        <w:tc>
          <w:tcPr>
            <w:tcW w:w="264" w:type="pct"/>
            <w:vAlign w:val="center"/>
          </w:tcPr>
          <w:p>
            <w:pPr>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color w:val="auto"/>
                <w:sz w:val="24"/>
                <w:lang w:val="en-US" w:eastAsia="zh-CN"/>
              </w:rPr>
              <w:t>中</w:t>
            </w:r>
          </w:p>
        </w:tc>
        <w:tc>
          <w:tcPr>
            <w:tcW w:w="927" w:type="pct"/>
            <w:vAlign w:val="center"/>
          </w:tcPr>
          <w:p>
            <w:pP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color w:val="auto"/>
                <w:sz w:val="24"/>
                <w:lang w:val="en-US" w:eastAsia="zh-CN"/>
              </w:rPr>
              <w:t>《中华人民共和国安全生产法》第三十五条</w:t>
            </w:r>
          </w:p>
        </w:tc>
        <w:tc>
          <w:tcPr>
            <w:tcW w:w="757" w:type="pct"/>
            <w:vMerge w:val="continue"/>
          </w:tcPr>
          <w:p>
            <w:pPr>
              <w:jc w:val="center"/>
              <w:rPr>
                <w:rFonts w:cs="仿宋_GB2312" w:asciiTheme="minorEastAsia" w:hAnsiTheme="minorEastAsia"/>
                <w:color w:val="auto"/>
                <w:sz w:val="24"/>
              </w:rPr>
            </w:pPr>
          </w:p>
        </w:tc>
        <w:tc>
          <w:tcPr>
            <w:tcW w:w="933" w:type="pct"/>
            <w:vMerge w:val="continue"/>
            <w:vAlign w:val="center"/>
          </w:tcPr>
          <w:p>
            <w:pPr>
              <w:jc w:val="center"/>
              <w:rPr>
                <w:rFonts w:cs="仿宋_GB2312" w:asciiTheme="minorEastAsia" w:hAnsiTheme="minorEastAsia"/>
                <w:color w:val="auto"/>
                <w:sz w:val="24"/>
              </w:rPr>
            </w:pPr>
          </w:p>
        </w:tc>
        <w:tc>
          <w:tcPr>
            <w:tcW w:w="324" w:type="pct"/>
            <w:vMerge w:val="continue"/>
            <w:vAlign w:val="center"/>
          </w:tcPr>
          <w:p>
            <w:pPr>
              <w:jc w:val="center"/>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73" w:type="pct"/>
            <w:vAlign w:val="center"/>
          </w:tcPr>
          <w:p>
            <w:pPr>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color w:val="auto"/>
                <w:sz w:val="24"/>
                <w:lang w:val="en-US" w:eastAsia="zh-CN"/>
              </w:rPr>
              <w:t>8</w:t>
            </w:r>
          </w:p>
        </w:tc>
        <w:tc>
          <w:tcPr>
            <w:tcW w:w="1619" w:type="pct"/>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生产经营单位应当教育和督促从业人员严格执行本单位的安全生产规章制度和安全操作规程；并向从业人员如实告知作业场所和工作岗位存在的危险因素、防范措施以及事故应急预案。</w:t>
            </w:r>
          </w:p>
        </w:tc>
        <w:tc>
          <w:tcPr>
            <w:tcW w:w="264" w:type="pct"/>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中</w:t>
            </w:r>
          </w:p>
        </w:tc>
        <w:tc>
          <w:tcPr>
            <w:tcW w:w="927" w:type="pct"/>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《中华人民共和国安全生产法》第四十四条</w:t>
            </w:r>
          </w:p>
        </w:tc>
        <w:tc>
          <w:tcPr>
            <w:tcW w:w="757" w:type="pct"/>
            <w:vMerge w:val="continue"/>
          </w:tcPr>
          <w:p>
            <w:pPr>
              <w:jc w:val="center"/>
              <w:rPr>
                <w:rFonts w:cs="仿宋_GB2312" w:asciiTheme="minorEastAsia" w:hAnsiTheme="minorEastAsia"/>
                <w:color w:val="auto"/>
                <w:sz w:val="24"/>
              </w:rPr>
            </w:pPr>
          </w:p>
        </w:tc>
        <w:tc>
          <w:tcPr>
            <w:tcW w:w="933" w:type="pct"/>
            <w:vMerge w:val="continue"/>
            <w:vAlign w:val="center"/>
          </w:tcPr>
          <w:p>
            <w:pPr>
              <w:jc w:val="center"/>
              <w:rPr>
                <w:rFonts w:cs="仿宋_GB2312" w:asciiTheme="minorEastAsia" w:hAnsiTheme="minorEastAsia"/>
                <w:color w:val="auto"/>
                <w:sz w:val="24"/>
              </w:rPr>
            </w:pPr>
          </w:p>
        </w:tc>
        <w:tc>
          <w:tcPr>
            <w:tcW w:w="324" w:type="pct"/>
            <w:vMerge w:val="restart"/>
            <w:vAlign w:val="center"/>
          </w:tcPr>
          <w:p>
            <w:pPr>
              <w:jc w:val="center"/>
              <w:rPr>
                <w:rFonts w:asciiTheme="minorEastAsia" w:hAnsiTheme="minorEastAsia"/>
                <w:color w:val="auto"/>
                <w:sz w:val="24"/>
              </w:rPr>
            </w:pPr>
            <w:r>
              <w:rPr>
                <w:rFonts w:hint="eastAsia" w:cs="仿宋_GB2312" w:asciiTheme="minorEastAsia" w:hAnsiTheme="minorEastAsia"/>
                <w:color w:val="auto"/>
                <w:sz w:val="24"/>
                <w:lang w:val="en-US" w:eastAsia="zh-CN"/>
              </w:rPr>
              <w:t>工贸科</w:t>
            </w:r>
            <w:r>
              <w:rPr>
                <w:rFonts w:hint="eastAsia" w:cs="仿宋_GB2312" w:asciiTheme="minorEastAsia" w:hAnsiTheme="minorEastAsia"/>
                <w:color w:val="auto"/>
                <w:sz w:val="24"/>
              </w:rPr>
              <w:t>、</w:t>
            </w:r>
            <w:r>
              <w:rPr>
                <w:rFonts w:hint="eastAsia" w:cs="仿宋_GB2312" w:asciiTheme="minorEastAsia" w:hAnsiTheme="minorEastAsia"/>
                <w:color w:val="auto"/>
                <w:sz w:val="24"/>
                <w:lang w:val="en-US" w:eastAsia="zh-CN"/>
              </w:rPr>
              <w:t>危化科</w:t>
            </w:r>
            <w:r>
              <w:rPr>
                <w:rFonts w:hint="eastAsia" w:cs="仿宋_GB2312" w:asciiTheme="minorEastAsia" w:hAnsiTheme="minorEastAsia"/>
                <w:color w:val="auto"/>
                <w:sz w:val="24"/>
              </w:rPr>
              <w:t>、宣传训练科、</w:t>
            </w:r>
            <w:r>
              <w:rPr>
                <w:rFonts w:hint="eastAsia" w:cs="仿宋_GB2312" w:asciiTheme="minorEastAsia" w:hAnsiTheme="minorEastAsia"/>
                <w:color w:val="auto"/>
                <w:sz w:val="24"/>
                <w:lang w:val="en-US" w:eastAsia="zh-CN"/>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73" w:type="pct"/>
            <w:vAlign w:val="center"/>
          </w:tcPr>
          <w:p>
            <w:pPr>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color w:val="auto"/>
                <w:sz w:val="24"/>
                <w:lang w:val="en-US" w:eastAsia="zh-CN"/>
              </w:rPr>
              <w:t>9</w:t>
            </w:r>
          </w:p>
        </w:tc>
        <w:tc>
          <w:tcPr>
            <w:tcW w:w="1619" w:type="pct"/>
            <w:vAlign w:val="center"/>
          </w:tcPr>
          <w:p>
            <w:pPr>
              <w:rPr>
                <w:rFonts w:hint="eastAsia" w:cs="仿宋_GB2312" w:asciiTheme="minorEastAsia" w:hAnsiTheme="minorEastAsia" w:eastAsiaTheme="minorEastAsia"/>
                <w:color w:val="auto"/>
                <w:kern w:val="2"/>
                <w:sz w:val="24"/>
                <w:szCs w:val="24"/>
                <w:lang w:val="en-US" w:eastAsia="zh-CN" w:bidi="ar-SA"/>
              </w:rPr>
            </w:pPr>
            <w:r>
              <w:rPr>
                <w:rFonts w:hint="default" w:cs="仿宋_GB2312" w:asciiTheme="minorEastAsia" w:hAnsiTheme="minorEastAsia" w:eastAsiaTheme="minorEastAsia"/>
                <w:color w:val="auto"/>
                <w:sz w:val="24"/>
                <w:lang w:val="en-US" w:eastAsia="zh-CN"/>
              </w:rPr>
              <w:t>生产经营单位必须为从业人员提供符合国家标准或者行业标准的劳动防护用品，并监督、教育从业人员按照使用规则佩戴、使用。</w:t>
            </w:r>
          </w:p>
        </w:tc>
        <w:tc>
          <w:tcPr>
            <w:tcW w:w="264" w:type="pct"/>
            <w:vAlign w:val="center"/>
          </w:tcPr>
          <w:p>
            <w:pPr>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color w:val="auto"/>
                <w:sz w:val="24"/>
                <w:lang w:val="en-US" w:eastAsia="zh-CN"/>
              </w:rPr>
              <w:t>中</w:t>
            </w:r>
          </w:p>
        </w:tc>
        <w:tc>
          <w:tcPr>
            <w:tcW w:w="927" w:type="pct"/>
            <w:vAlign w:val="center"/>
          </w:tcPr>
          <w:p>
            <w:pP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color w:val="auto"/>
                <w:sz w:val="24"/>
                <w:lang w:val="en-US" w:eastAsia="zh-CN"/>
              </w:rPr>
              <w:t>《中华人民共和国安全生产法》第四十五条</w:t>
            </w:r>
          </w:p>
        </w:tc>
        <w:tc>
          <w:tcPr>
            <w:tcW w:w="757" w:type="pct"/>
            <w:vMerge w:val="continue"/>
          </w:tcPr>
          <w:p>
            <w:pPr>
              <w:jc w:val="center"/>
              <w:rPr>
                <w:rFonts w:cs="仿宋_GB2312" w:asciiTheme="minorEastAsia" w:hAnsiTheme="minorEastAsia"/>
                <w:color w:val="auto"/>
                <w:sz w:val="24"/>
              </w:rPr>
            </w:pPr>
          </w:p>
        </w:tc>
        <w:tc>
          <w:tcPr>
            <w:tcW w:w="933" w:type="pct"/>
            <w:vMerge w:val="continue"/>
            <w:vAlign w:val="center"/>
          </w:tcPr>
          <w:p>
            <w:pPr>
              <w:jc w:val="center"/>
              <w:rPr>
                <w:rFonts w:cs="仿宋_GB2312" w:asciiTheme="minorEastAsia" w:hAnsiTheme="minorEastAsia"/>
                <w:color w:val="auto"/>
                <w:sz w:val="24"/>
              </w:rPr>
            </w:pPr>
          </w:p>
        </w:tc>
        <w:tc>
          <w:tcPr>
            <w:tcW w:w="324" w:type="pct"/>
            <w:vMerge w:val="continue"/>
            <w:vAlign w:val="center"/>
          </w:tcPr>
          <w:p>
            <w:pPr>
              <w:jc w:val="center"/>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173" w:type="pct"/>
            <w:vAlign w:val="center"/>
          </w:tcPr>
          <w:p>
            <w:pPr>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color w:val="auto"/>
                <w:sz w:val="24"/>
                <w:lang w:val="en-US" w:eastAsia="zh-CN"/>
              </w:rPr>
              <w:t>10</w:t>
            </w:r>
          </w:p>
        </w:tc>
        <w:tc>
          <w:tcPr>
            <w:tcW w:w="1619" w:type="pct"/>
            <w:vAlign w:val="center"/>
          </w:tcPr>
          <w:p>
            <w:pP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color w:val="auto"/>
                <w:sz w:val="24"/>
                <w:lang w:val="en-US" w:eastAsia="zh-CN"/>
              </w:rPr>
              <w:t>未经依法批准，擅自生产、经营、运输、储存、使用危险物品或者处置废弃危险物品的，依照有关危险物品安全管理的法律、行政法规的规定予以处罚；构成犯罪的，依照刑法有关规定追究刑事责任。</w:t>
            </w:r>
          </w:p>
        </w:tc>
        <w:tc>
          <w:tcPr>
            <w:tcW w:w="264" w:type="pct"/>
            <w:vAlign w:val="center"/>
          </w:tcPr>
          <w:p>
            <w:pPr>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color w:val="auto"/>
                <w:sz w:val="24"/>
                <w:lang w:val="en-US" w:eastAsia="zh-CN"/>
              </w:rPr>
              <w:t>中</w:t>
            </w:r>
          </w:p>
        </w:tc>
        <w:tc>
          <w:tcPr>
            <w:tcW w:w="927" w:type="pct"/>
            <w:vAlign w:val="center"/>
          </w:tcPr>
          <w:p>
            <w:pP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color w:val="auto"/>
                <w:sz w:val="24"/>
                <w:lang w:val="en-US" w:eastAsia="zh-CN"/>
              </w:rPr>
              <w:t>《中华人民共和国安全生产法》第一百条</w:t>
            </w:r>
          </w:p>
        </w:tc>
        <w:tc>
          <w:tcPr>
            <w:tcW w:w="757" w:type="pct"/>
            <w:vMerge w:val="continue"/>
          </w:tcPr>
          <w:p>
            <w:pPr>
              <w:jc w:val="center"/>
              <w:rPr>
                <w:rFonts w:cs="仿宋_GB2312" w:asciiTheme="minorEastAsia" w:hAnsiTheme="minorEastAsia"/>
                <w:color w:val="auto"/>
                <w:sz w:val="24"/>
              </w:rPr>
            </w:pPr>
          </w:p>
        </w:tc>
        <w:tc>
          <w:tcPr>
            <w:tcW w:w="933" w:type="pct"/>
            <w:vMerge w:val="continue"/>
            <w:vAlign w:val="center"/>
          </w:tcPr>
          <w:p>
            <w:pPr>
              <w:jc w:val="center"/>
              <w:rPr>
                <w:rFonts w:cs="仿宋_GB2312" w:asciiTheme="minorEastAsia" w:hAnsiTheme="minorEastAsia"/>
                <w:color w:val="auto"/>
                <w:sz w:val="24"/>
              </w:rPr>
            </w:pPr>
          </w:p>
        </w:tc>
        <w:tc>
          <w:tcPr>
            <w:tcW w:w="324" w:type="pct"/>
            <w:vMerge w:val="continue"/>
            <w:vAlign w:val="center"/>
          </w:tcPr>
          <w:p>
            <w:pPr>
              <w:jc w:val="center"/>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173" w:type="pct"/>
            <w:vAlign w:val="center"/>
          </w:tcPr>
          <w:p>
            <w:pPr>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color w:val="auto"/>
                <w:sz w:val="24"/>
                <w:lang w:val="en-US" w:eastAsia="zh-CN"/>
              </w:rPr>
              <w:t>11</w:t>
            </w:r>
          </w:p>
        </w:tc>
        <w:tc>
          <w:tcPr>
            <w:tcW w:w="1619" w:type="pct"/>
            <w:vAlign w:val="center"/>
          </w:tcPr>
          <w:p>
            <w:pP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color w:val="auto"/>
                <w:sz w:val="24"/>
                <w:lang w:val="en-US" w:eastAsia="zh-CN"/>
              </w:rPr>
              <w:t>生产经营单位的全员安全生产责任制应当明确各岗位的责任人员、责任范围和考核标准等内容。</w:t>
            </w:r>
          </w:p>
        </w:tc>
        <w:tc>
          <w:tcPr>
            <w:tcW w:w="264" w:type="pct"/>
            <w:vAlign w:val="center"/>
          </w:tcPr>
          <w:p>
            <w:pPr>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color w:val="auto"/>
                <w:sz w:val="24"/>
                <w:lang w:val="en-US" w:eastAsia="zh-CN"/>
              </w:rPr>
              <w:t>低</w:t>
            </w:r>
          </w:p>
        </w:tc>
        <w:tc>
          <w:tcPr>
            <w:tcW w:w="927" w:type="pct"/>
            <w:vAlign w:val="center"/>
          </w:tcPr>
          <w:p>
            <w:pP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color w:val="auto"/>
                <w:sz w:val="24"/>
                <w:lang w:val="en-US" w:eastAsia="zh-CN"/>
              </w:rPr>
              <w:t>《中华人民共和国安全生产法》第二十二条</w:t>
            </w:r>
          </w:p>
        </w:tc>
        <w:tc>
          <w:tcPr>
            <w:tcW w:w="757" w:type="pct"/>
            <w:vMerge w:val="continue"/>
          </w:tcPr>
          <w:p>
            <w:pPr>
              <w:jc w:val="center"/>
              <w:rPr>
                <w:rFonts w:cs="仿宋_GB2312" w:asciiTheme="minorEastAsia" w:hAnsiTheme="minorEastAsia"/>
                <w:color w:val="auto"/>
                <w:sz w:val="24"/>
              </w:rPr>
            </w:pPr>
          </w:p>
        </w:tc>
        <w:tc>
          <w:tcPr>
            <w:tcW w:w="933" w:type="pct"/>
            <w:vMerge w:val="continue"/>
            <w:vAlign w:val="center"/>
          </w:tcPr>
          <w:p>
            <w:pPr>
              <w:jc w:val="center"/>
              <w:rPr>
                <w:rFonts w:cs="仿宋_GB2312" w:asciiTheme="minorEastAsia" w:hAnsiTheme="minorEastAsia"/>
                <w:color w:val="auto"/>
                <w:sz w:val="24"/>
              </w:rPr>
            </w:pPr>
          </w:p>
        </w:tc>
        <w:tc>
          <w:tcPr>
            <w:tcW w:w="324" w:type="pct"/>
            <w:vMerge w:val="continue"/>
            <w:vAlign w:val="center"/>
          </w:tcPr>
          <w:p>
            <w:pPr>
              <w:jc w:val="center"/>
              <w:rPr>
                <w:rFonts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73" w:type="pct"/>
            <w:vAlign w:val="center"/>
          </w:tcPr>
          <w:p>
            <w:pPr>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color w:val="auto"/>
                <w:sz w:val="24"/>
                <w:lang w:val="en-US" w:eastAsia="zh-CN"/>
              </w:rPr>
              <w:t>12</w:t>
            </w:r>
          </w:p>
        </w:tc>
        <w:tc>
          <w:tcPr>
            <w:tcW w:w="1619" w:type="pct"/>
            <w:vAlign w:val="center"/>
          </w:tcPr>
          <w:p>
            <w:pP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color w:val="auto"/>
                <w:sz w:val="24"/>
                <w:lang w:val="en-US" w:eastAsia="zh-CN"/>
              </w:rPr>
              <w:t>生产、经营、储存、使用危险物品车间、商店、仓库不得与员工宿舍在同一建筑物内，并应当与员工宿舍保持安全距离。</w:t>
            </w:r>
          </w:p>
        </w:tc>
        <w:tc>
          <w:tcPr>
            <w:tcW w:w="264" w:type="pct"/>
            <w:vAlign w:val="center"/>
          </w:tcPr>
          <w:p>
            <w:pPr>
              <w:jc w:val="center"/>
              <w:rPr>
                <w:rFonts w:hint="eastAsia" w:cs="Arial" w:asciiTheme="minorEastAsia" w:hAnsiTheme="minorEastAsia" w:eastAsiaTheme="minorEastAsia"/>
                <w:color w:val="auto"/>
                <w:kern w:val="0"/>
                <w:sz w:val="24"/>
                <w:szCs w:val="24"/>
                <w:shd w:val="clear" w:color="auto" w:fill="FFFFFF"/>
                <w:lang w:val="en-US" w:eastAsia="zh-CN" w:bidi="ar-SA"/>
              </w:rPr>
            </w:pPr>
            <w:r>
              <w:rPr>
                <w:rFonts w:hint="eastAsia" w:cs="Arial" w:asciiTheme="minorEastAsia" w:hAnsiTheme="minorEastAsia"/>
                <w:color w:val="auto"/>
                <w:kern w:val="0"/>
                <w:sz w:val="24"/>
                <w:shd w:val="clear" w:color="auto" w:fill="FFFFFF"/>
                <w:lang w:val="en-US" w:eastAsia="zh-CN"/>
              </w:rPr>
              <w:t>低</w:t>
            </w:r>
          </w:p>
        </w:tc>
        <w:tc>
          <w:tcPr>
            <w:tcW w:w="927" w:type="pct"/>
            <w:vAlign w:val="center"/>
          </w:tcPr>
          <w:p>
            <w:pPr>
              <w:rPr>
                <w:rFonts w:hint="eastAsia" w:cs="Arial" w:asciiTheme="minorEastAsia" w:hAnsiTheme="minorEastAsia" w:eastAsiaTheme="minorEastAsia"/>
                <w:color w:val="auto"/>
                <w:kern w:val="0"/>
                <w:sz w:val="24"/>
                <w:szCs w:val="24"/>
                <w:shd w:val="clear" w:color="auto" w:fill="FFFFFF"/>
                <w:lang w:val="en-US" w:eastAsia="zh-CN" w:bidi="ar-SA"/>
              </w:rPr>
            </w:pPr>
            <w:r>
              <w:rPr>
                <w:rFonts w:hint="eastAsia" w:cs="仿宋_GB2312" w:asciiTheme="minorEastAsia" w:hAnsiTheme="minorEastAsia"/>
                <w:color w:val="auto"/>
                <w:sz w:val="24"/>
                <w:lang w:val="en-US" w:eastAsia="zh-CN"/>
              </w:rPr>
              <w:t>《中华人民共和国安全生产法》第四十二条</w:t>
            </w:r>
          </w:p>
        </w:tc>
        <w:tc>
          <w:tcPr>
            <w:tcW w:w="757" w:type="pct"/>
            <w:vMerge w:val="continue"/>
          </w:tcPr>
          <w:p>
            <w:pPr>
              <w:jc w:val="center"/>
              <w:rPr>
                <w:rFonts w:cs="仿宋_GB2312" w:asciiTheme="minorEastAsia" w:hAnsiTheme="minorEastAsia"/>
                <w:color w:val="auto"/>
                <w:sz w:val="24"/>
              </w:rPr>
            </w:pPr>
          </w:p>
        </w:tc>
        <w:tc>
          <w:tcPr>
            <w:tcW w:w="933" w:type="pct"/>
            <w:vMerge w:val="continue"/>
            <w:vAlign w:val="center"/>
          </w:tcPr>
          <w:p>
            <w:pPr>
              <w:jc w:val="center"/>
              <w:rPr>
                <w:rFonts w:cs="仿宋_GB2312" w:asciiTheme="minorEastAsia" w:hAnsiTheme="minorEastAsia"/>
                <w:color w:val="auto"/>
                <w:sz w:val="24"/>
              </w:rPr>
            </w:pPr>
          </w:p>
        </w:tc>
        <w:tc>
          <w:tcPr>
            <w:tcW w:w="324" w:type="pct"/>
            <w:vMerge w:val="continue"/>
            <w:vAlign w:val="center"/>
          </w:tcPr>
          <w:p>
            <w:pPr>
              <w:jc w:val="center"/>
              <w:rPr>
                <w:rFonts w:asciiTheme="minorEastAsia" w:hAnsiTheme="minorEastAsia"/>
                <w:color w:val="auto"/>
                <w:sz w:val="24"/>
              </w:rPr>
            </w:pPr>
          </w:p>
        </w:tc>
      </w:tr>
    </w:tbl>
    <w:p>
      <w:pPr>
        <w:bidi w:val="0"/>
        <w:rPr>
          <w:lang w:val="en-US" w:eastAsia="zh-CN"/>
        </w:rPr>
      </w:pPr>
    </w:p>
    <w:sectPr>
      <w:footerReference r:id="rId3" w:type="default"/>
      <w:pgSz w:w="16838" w:h="11906" w:orient="landscape"/>
      <w:pgMar w:top="907" w:right="851" w:bottom="907" w:left="1077"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5704"/>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YmNlYzQ5ZGE2ZGFkOGFiN2JkZmQ0YWVjNTY3MTcifQ=="/>
  </w:docVars>
  <w:rsids>
    <w:rsidRoot w:val="52A34CB5"/>
    <w:rsid w:val="0004078E"/>
    <w:rsid w:val="00046831"/>
    <w:rsid w:val="000B5A51"/>
    <w:rsid w:val="000D2BA4"/>
    <w:rsid w:val="00171298"/>
    <w:rsid w:val="00197E85"/>
    <w:rsid w:val="00211888"/>
    <w:rsid w:val="00231F30"/>
    <w:rsid w:val="00313A3C"/>
    <w:rsid w:val="003720FB"/>
    <w:rsid w:val="00373401"/>
    <w:rsid w:val="00450C6D"/>
    <w:rsid w:val="00470346"/>
    <w:rsid w:val="00510DEA"/>
    <w:rsid w:val="0054432D"/>
    <w:rsid w:val="0055669D"/>
    <w:rsid w:val="00590919"/>
    <w:rsid w:val="005923AD"/>
    <w:rsid w:val="005B0619"/>
    <w:rsid w:val="005D0E36"/>
    <w:rsid w:val="005F3E9C"/>
    <w:rsid w:val="00601718"/>
    <w:rsid w:val="006678E3"/>
    <w:rsid w:val="00686084"/>
    <w:rsid w:val="006D22C4"/>
    <w:rsid w:val="00765A83"/>
    <w:rsid w:val="007E6F4A"/>
    <w:rsid w:val="008F51AC"/>
    <w:rsid w:val="009660B8"/>
    <w:rsid w:val="00A03AD8"/>
    <w:rsid w:val="00A03C1C"/>
    <w:rsid w:val="00A624BA"/>
    <w:rsid w:val="00A6744D"/>
    <w:rsid w:val="00A913DB"/>
    <w:rsid w:val="00AB45B1"/>
    <w:rsid w:val="00B42A1C"/>
    <w:rsid w:val="00B916A6"/>
    <w:rsid w:val="00C17A93"/>
    <w:rsid w:val="00C26C78"/>
    <w:rsid w:val="00C463B0"/>
    <w:rsid w:val="00C94B06"/>
    <w:rsid w:val="00CA1CD6"/>
    <w:rsid w:val="00CA4F43"/>
    <w:rsid w:val="00CD34CF"/>
    <w:rsid w:val="00D9247D"/>
    <w:rsid w:val="00E328B4"/>
    <w:rsid w:val="00E6237D"/>
    <w:rsid w:val="00EA3A7F"/>
    <w:rsid w:val="00EC2A81"/>
    <w:rsid w:val="00F329AE"/>
    <w:rsid w:val="00F510A3"/>
    <w:rsid w:val="01D11FAE"/>
    <w:rsid w:val="02C32E43"/>
    <w:rsid w:val="02C866AB"/>
    <w:rsid w:val="03035935"/>
    <w:rsid w:val="04FA68C4"/>
    <w:rsid w:val="05C84C14"/>
    <w:rsid w:val="05C95B5C"/>
    <w:rsid w:val="06B331CE"/>
    <w:rsid w:val="077010BF"/>
    <w:rsid w:val="09091475"/>
    <w:rsid w:val="09D75426"/>
    <w:rsid w:val="0A1E3055"/>
    <w:rsid w:val="0A200B7B"/>
    <w:rsid w:val="0A5E16A3"/>
    <w:rsid w:val="0A717628"/>
    <w:rsid w:val="0AE71648"/>
    <w:rsid w:val="0AF41CF4"/>
    <w:rsid w:val="0BC027C4"/>
    <w:rsid w:val="0C01678A"/>
    <w:rsid w:val="0C5B40EC"/>
    <w:rsid w:val="0D3B3F1D"/>
    <w:rsid w:val="0DC857B1"/>
    <w:rsid w:val="0E2A646C"/>
    <w:rsid w:val="0E3837AB"/>
    <w:rsid w:val="0E4312DC"/>
    <w:rsid w:val="0F1F3AF7"/>
    <w:rsid w:val="109B71AD"/>
    <w:rsid w:val="10DB57FB"/>
    <w:rsid w:val="122907E8"/>
    <w:rsid w:val="12E017EF"/>
    <w:rsid w:val="137837D5"/>
    <w:rsid w:val="14A1327A"/>
    <w:rsid w:val="14E210AD"/>
    <w:rsid w:val="1542409B"/>
    <w:rsid w:val="15836462"/>
    <w:rsid w:val="170B2BB3"/>
    <w:rsid w:val="17824C23"/>
    <w:rsid w:val="183A72AB"/>
    <w:rsid w:val="19371A3D"/>
    <w:rsid w:val="19456052"/>
    <w:rsid w:val="1A78230D"/>
    <w:rsid w:val="1B244243"/>
    <w:rsid w:val="1B505038"/>
    <w:rsid w:val="1BEA0FE8"/>
    <w:rsid w:val="1BF956CF"/>
    <w:rsid w:val="1C6012AB"/>
    <w:rsid w:val="1CC23D13"/>
    <w:rsid w:val="1D94745E"/>
    <w:rsid w:val="1EAB0F03"/>
    <w:rsid w:val="1F564138"/>
    <w:rsid w:val="2011123A"/>
    <w:rsid w:val="20AC2D10"/>
    <w:rsid w:val="21787096"/>
    <w:rsid w:val="21A97250"/>
    <w:rsid w:val="21EF2048"/>
    <w:rsid w:val="221773B2"/>
    <w:rsid w:val="22B81E40"/>
    <w:rsid w:val="232A4C15"/>
    <w:rsid w:val="23B02B18"/>
    <w:rsid w:val="242A28CA"/>
    <w:rsid w:val="242D4168"/>
    <w:rsid w:val="244D5643"/>
    <w:rsid w:val="24F37160"/>
    <w:rsid w:val="2500655F"/>
    <w:rsid w:val="256242E5"/>
    <w:rsid w:val="2677791D"/>
    <w:rsid w:val="27A5716E"/>
    <w:rsid w:val="27F07D95"/>
    <w:rsid w:val="288307FB"/>
    <w:rsid w:val="28B5297E"/>
    <w:rsid w:val="28FE60D3"/>
    <w:rsid w:val="29C64C71"/>
    <w:rsid w:val="29D55086"/>
    <w:rsid w:val="29E9638F"/>
    <w:rsid w:val="2B481888"/>
    <w:rsid w:val="2BB55F54"/>
    <w:rsid w:val="2BD61589"/>
    <w:rsid w:val="2BEE0681"/>
    <w:rsid w:val="2C477D91"/>
    <w:rsid w:val="2C610E53"/>
    <w:rsid w:val="2C6314C3"/>
    <w:rsid w:val="2D1B36F8"/>
    <w:rsid w:val="2D510EC7"/>
    <w:rsid w:val="2D7E3C87"/>
    <w:rsid w:val="2E1819E5"/>
    <w:rsid w:val="2ED31DB0"/>
    <w:rsid w:val="2F041F69"/>
    <w:rsid w:val="2F3C1CF4"/>
    <w:rsid w:val="306A5B0E"/>
    <w:rsid w:val="31321010"/>
    <w:rsid w:val="32717916"/>
    <w:rsid w:val="331F55C4"/>
    <w:rsid w:val="33BB353F"/>
    <w:rsid w:val="34B30FAB"/>
    <w:rsid w:val="34E72111"/>
    <w:rsid w:val="35635C3C"/>
    <w:rsid w:val="356425B6"/>
    <w:rsid w:val="368F0CB2"/>
    <w:rsid w:val="36DB5CA6"/>
    <w:rsid w:val="37621F23"/>
    <w:rsid w:val="37D050DF"/>
    <w:rsid w:val="392576AC"/>
    <w:rsid w:val="3A583C64"/>
    <w:rsid w:val="3A6D4E67"/>
    <w:rsid w:val="3AD62A0C"/>
    <w:rsid w:val="3B9031CD"/>
    <w:rsid w:val="3C1B6501"/>
    <w:rsid w:val="3C504A40"/>
    <w:rsid w:val="3C8B7826"/>
    <w:rsid w:val="3DA74B34"/>
    <w:rsid w:val="3E8B1D5F"/>
    <w:rsid w:val="3F4A39C9"/>
    <w:rsid w:val="41192CEB"/>
    <w:rsid w:val="41322966"/>
    <w:rsid w:val="42446DF5"/>
    <w:rsid w:val="42772D26"/>
    <w:rsid w:val="42B555FD"/>
    <w:rsid w:val="4375208F"/>
    <w:rsid w:val="453F38A4"/>
    <w:rsid w:val="45E16EAE"/>
    <w:rsid w:val="468943B1"/>
    <w:rsid w:val="470D5A07"/>
    <w:rsid w:val="47887784"/>
    <w:rsid w:val="47E24875"/>
    <w:rsid w:val="484E277B"/>
    <w:rsid w:val="48B620CF"/>
    <w:rsid w:val="48E84B5B"/>
    <w:rsid w:val="48F53030"/>
    <w:rsid w:val="492E6109"/>
    <w:rsid w:val="494D658F"/>
    <w:rsid w:val="49675177"/>
    <w:rsid w:val="49AD702E"/>
    <w:rsid w:val="49C820BA"/>
    <w:rsid w:val="4A993A56"/>
    <w:rsid w:val="4BA62E09"/>
    <w:rsid w:val="4BBE2414"/>
    <w:rsid w:val="4C7C6A47"/>
    <w:rsid w:val="4C9B3AB5"/>
    <w:rsid w:val="4D5D0D6B"/>
    <w:rsid w:val="4DC32544"/>
    <w:rsid w:val="4DCE3A17"/>
    <w:rsid w:val="4E791BD4"/>
    <w:rsid w:val="4F936CC6"/>
    <w:rsid w:val="4FB96E6B"/>
    <w:rsid w:val="4FCB46B2"/>
    <w:rsid w:val="50250266"/>
    <w:rsid w:val="50483F54"/>
    <w:rsid w:val="50B45146"/>
    <w:rsid w:val="516B614C"/>
    <w:rsid w:val="528A0778"/>
    <w:rsid w:val="52A34CB5"/>
    <w:rsid w:val="52A511EA"/>
    <w:rsid w:val="52DA7D7A"/>
    <w:rsid w:val="53D55AFF"/>
    <w:rsid w:val="53EE6BC1"/>
    <w:rsid w:val="543E2DF0"/>
    <w:rsid w:val="54B43966"/>
    <w:rsid w:val="54D23DEC"/>
    <w:rsid w:val="55524F2D"/>
    <w:rsid w:val="558F6181"/>
    <w:rsid w:val="55C91693"/>
    <w:rsid w:val="56B7773E"/>
    <w:rsid w:val="5765719A"/>
    <w:rsid w:val="58B16AEA"/>
    <w:rsid w:val="591F0D7C"/>
    <w:rsid w:val="594A4899"/>
    <w:rsid w:val="59A60DC8"/>
    <w:rsid w:val="59F14D15"/>
    <w:rsid w:val="5AA94364"/>
    <w:rsid w:val="5B6065F6"/>
    <w:rsid w:val="5C981DBF"/>
    <w:rsid w:val="5C98591B"/>
    <w:rsid w:val="5CF52D6E"/>
    <w:rsid w:val="5DE60909"/>
    <w:rsid w:val="5F1A6ABC"/>
    <w:rsid w:val="609676C4"/>
    <w:rsid w:val="60DE4F09"/>
    <w:rsid w:val="62BD60DC"/>
    <w:rsid w:val="62C236F2"/>
    <w:rsid w:val="631B7F70"/>
    <w:rsid w:val="639826A5"/>
    <w:rsid w:val="63DE27AE"/>
    <w:rsid w:val="64444160"/>
    <w:rsid w:val="64813E50"/>
    <w:rsid w:val="64D31908"/>
    <w:rsid w:val="65384140"/>
    <w:rsid w:val="66100C18"/>
    <w:rsid w:val="663761A5"/>
    <w:rsid w:val="66B9305E"/>
    <w:rsid w:val="67C130F4"/>
    <w:rsid w:val="68466B73"/>
    <w:rsid w:val="68CF0917"/>
    <w:rsid w:val="691C78D4"/>
    <w:rsid w:val="69BD4C13"/>
    <w:rsid w:val="69DA7573"/>
    <w:rsid w:val="6A0D5B9B"/>
    <w:rsid w:val="6B2D7B77"/>
    <w:rsid w:val="6C21592D"/>
    <w:rsid w:val="6CB03334"/>
    <w:rsid w:val="6D1F1741"/>
    <w:rsid w:val="6D535020"/>
    <w:rsid w:val="6DBF603E"/>
    <w:rsid w:val="6EE13B87"/>
    <w:rsid w:val="70C20D61"/>
    <w:rsid w:val="718A31A2"/>
    <w:rsid w:val="7260536E"/>
    <w:rsid w:val="742C4E6F"/>
    <w:rsid w:val="746C7962"/>
    <w:rsid w:val="74B03CF2"/>
    <w:rsid w:val="75BE243F"/>
    <w:rsid w:val="75FF9371"/>
    <w:rsid w:val="761738FD"/>
    <w:rsid w:val="77E837A3"/>
    <w:rsid w:val="79D33FDF"/>
    <w:rsid w:val="79ED6E4F"/>
    <w:rsid w:val="7B116B6D"/>
    <w:rsid w:val="7B4E6B2E"/>
    <w:rsid w:val="7BC40083"/>
    <w:rsid w:val="7BD61B65"/>
    <w:rsid w:val="7C444D20"/>
    <w:rsid w:val="7C4F3DF1"/>
    <w:rsid w:val="7CCC5441"/>
    <w:rsid w:val="7E36083F"/>
    <w:rsid w:val="7F345520"/>
    <w:rsid w:val="7FAC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99"/>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fzb/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HP</Company>
  <Pages>3</Pages>
  <Words>2157</Words>
  <Characters>2178</Characters>
  <Lines>14</Lines>
  <Paragraphs>4</Paragraphs>
  <TotalTime>2</TotalTime>
  <ScaleCrop>false</ScaleCrop>
  <LinksUpToDate>false</LinksUpToDate>
  <CharactersWithSpaces>2254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2020-08-18T08:37:00Z</dcterms:created>
  <dc:creator>Administrator</dc:creator>
  <cp:lastModifiedBy>fzb</cp:lastModifiedBy>
  <cp:lastPrinted>2020-07-28T08:30:00Z</cp:lastPrinted>
  <dcterms:modified xsi:type="dcterms:W3CDTF">2025-01-02T09:02:54Z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E3C37DF6B651411DB511CF2506F130D0</vt:lpwstr>
  </property>
</Properties>
</file>